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9258F">
      <w:pPr>
        <w:adjustRightInd w:val="0"/>
        <w:snapToGrid w:val="0"/>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附表2</w:t>
      </w:r>
    </w:p>
    <w:p w14:paraId="7AF2E5AB">
      <w:pPr>
        <w:spacing w:before="156" w:beforeLines="50" w:after="156" w:afterLines="50"/>
        <w:jc w:val="center"/>
        <w:rPr>
          <w:rFonts w:ascii="黑体" w:eastAsia="黑体"/>
          <w:sz w:val="36"/>
          <w:szCs w:val="36"/>
        </w:rPr>
      </w:pPr>
      <w:r>
        <w:rPr>
          <w:rFonts w:hint="eastAsia" w:ascii="黑体" w:eastAsia="黑体"/>
          <w:sz w:val="36"/>
          <w:szCs w:val="36"/>
        </w:rPr>
        <w:t>协会标准项目建议书</w:t>
      </w:r>
    </w:p>
    <w:tbl>
      <w:tblPr>
        <w:tblStyle w:val="6"/>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76"/>
        <w:gridCol w:w="1080"/>
        <w:gridCol w:w="450"/>
        <w:gridCol w:w="26"/>
        <w:gridCol w:w="424"/>
        <w:gridCol w:w="1084"/>
        <w:gridCol w:w="1525"/>
        <w:gridCol w:w="84"/>
        <w:gridCol w:w="7"/>
        <w:gridCol w:w="1381"/>
        <w:gridCol w:w="44"/>
        <w:gridCol w:w="1517"/>
      </w:tblGrid>
      <w:tr w14:paraId="761D0C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5361C1BD">
            <w:pPr>
              <w:pStyle w:val="4"/>
              <w:pBdr>
                <w:bottom w:val="none" w:color="auto" w:sz="0" w:space="0"/>
              </w:pBdr>
              <w:tabs>
                <w:tab w:val="left" w:pos="420"/>
              </w:tabs>
              <w:snapToGrid/>
              <w:jc w:val="both"/>
              <w:rPr>
                <w:rFonts w:hint="default" w:ascii="Times New Roman" w:hAnsi="Times New Roman" w:cs="Times New Roman"/>
                <w:szCs w:val="24"/>
              </w:rPr>
            </w:pPr>
            <w:r>
              <w:rPr>
                <w:rFonts w:hint="default" w:ascii="Times New Roman" w:hAnsi="Times New Roman" w:cs="Times New Roman"/>
                <w:szCs w:val="24"/>
              </w:rPr>
              <w:t>建议项目名称</w:t>
            </w:r>
          </w:p>
          <w:p w14:paraId="685249CC">
            <w:pPr>
              <w:ind w:hanging="13"/>
              <w:rPr>
                <w:rFonts w:hint="default" w:ascii="Times New Roman" w:hAnsi="Times New Roman" w:cs="Times New Roman"/>
                <w:sz w:val="18"/>
              </w:rPr>
            </w:pPr>
            <w:r>
              <w:rPr>
                <w:rFonts w:hint="default" w:ascii="Times New Roman" w:hAnsi="Times New Roman" w:cs="Times New Roman"/>
                <w:sz w:val="18"/>
              </w:rPr>
              <w:t>(中文)</w:t>
            </w:r>
          </w:p>
        </w:tc>
        <w:tc>
          <w:tcPr>
            <w:tcW w:w="3064" w:type="dxa"/>
            <w:gridSpan w:val="5"/>
            <w:tcBorders>
              <w:top w:val="single" w:color="auto" w:sz="4" w:space="0"/>
              <w:left w:val="single" w:color="auto" w:sz="4" w:space="0"/>
              <w:bottom w:val="single" w:color="auto" w:sz="4" w:space="0"/>
              <w:right w:val="single" w:color="auto" w:sz="4" w:space="0"/>
            </w:tcBorders>
            <w:vAlign w:val="center"/>
          </w:tcPr>
          <w:p w14:paraId="37E604A8">
            <w:pPr>
              <w:rPr>
                <w:rFonts w:hint="default" w:ascii="Times New Roman" w:hAnsi="Times New Roman" w:eastAsia="宋体" w:cs="Times New Roman"/>
                <w:lang w:val="en-US" w:eastAsia="zh-CN"/>
              </w:rPr>
            </w:pPr>
            <w:r>
              <w:rPr>
                <w:rFonts w:hint="default" w:ascii="Times New Roman" w:hAnsi="Times New Roman" w:cs="Times New Roman"/>
                <w:lang w:val="en-US" w:eastAsia="zh-CN"/>
              </w:rPr>
              <w:t>基于项目的温室气体减排量评估技术规范 煤气化渣制岩纤板</w:t>
            </w:r>
          </w:p>
        </w:tc>
        <w:tc>
          <w:tcPr>
            <w:tcW w:w="1616" w:type="dxa"/>
            <w:gridSpan w:val="3"/>
            <w:tcBorders>
              <w:top w:val="single" w:color="auto" w:sz="4" w:space="0"/>
              <w:left w:val="single" w:color="auto" w:sz="4" w:space="0"/>
              <w:bottom w:val="single" w:color="auto" w:sz="4" w:space="0"/>
              <w:right w:val="single" w:color="auto" w:sz="4" w:space="0"/>
            </w:tcBorders>
            <w:vAlign w:val="center"/>
          </w:tcPr>
          <w:p w14:paraId="0E4D69F1">
            <w:pPr>
              <w:rPr>
                <w:rFonts w:hint="default" w:ascii="Times New Roman" w:hAnsi="Times New Roman" w:cs="Times New Roman"/>
                <w:sz w:val="18"/>
                <w:szCs w:val="18"/>
              </w:rPr>
            </w:pPr>
            <w:r>
              <w:rPr>
                <w:rFonts w:hint="default" w:ascii="Times New Roman" w:hAnsi="Times New Roman" w:cs="Times New Roman"/>
                <w:sz w:val="18"/>
                <w:szCs w:val="18"/>
              </w:rPr>
              <w:t>建议项目名称</w:t>
            </w:r>
          </w:p>
          <w:p w14:paraId="4AE5EBE9">
            <w:pPr>
              <w:rPr>
                <w:rFonts w:hint="default" w:ascii="Times New Roman" w:hAnsi="Times New Roman" w:cs="Times New Roman"/>
                <w:sz w:val="15"/>
              </w:rPr>
            </w:pPr>
            <w:r>
              <w:rPr>
                <w:rFonts w:hint="default" w:ascii="Times New Roman" w:hAnsi="Times New Roman" w:cs="Times New Roman"/>
                <w:sz w:val="18"/>
                <w:szCs w:val="18"/>
              </w:rPr>
              <w:t>(英文)</w:t>
            </w:r>
          </w:p>
        </w:tc>
        <w:tc>
          <w:tcPr>
            <w:tcW w:w="2942" w:type="dxa"/>
            <w:gridSpan w:val="3"/>
            <w:tcBorders>
              <w:top w:val="single" w:color="auto" w:sz="4" w:space="0"/>
              <w:left w:val="single" w:color="auto" w:sz="4" w:space="0"/>
              <w:bottom w:val="single" w:color="auto" w:sz="4" w:space="0"/>
              <w:right w:val="single" w:color="auto" w:sz="4" w:space="0"/>
            </w:tcBorders>
            <w:vAlign w:val="center"/>
          </w:tcPr>
          <w:p w14:paraId="71982DAC">
            <w:pPr>
              <w:rPr>
                <w:rFonts w:hint="default" w:ascii="Times New Roman" w:hAnsi="Times New Roman" w:cs="Times New Roman"/>
              </w:rPr>
            </w:pPr>
            <w:r>
              <w:rPr>
                <w:rFonts w:hint="default" w:ascii="Times New Roman" w:hAnsi="Times New Roman" w:cs="Times New Roman"/>
              </w:rPr>
              <w:t>Technical Specification for Greenhouse Gas Emission Reduction Assessment Based on Projects Rock Fiber Boards from Coal Gasification Slag</w:t>
            </w:r>
          </w:p>
        </w:tc>
      </w:tr>
      <w:tr w14:paraId="301F95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53673683">
            <w:pPr>
              <w:rPr>
                <w:rFonts w:hint="default" w:ascii="Times New Roman" w:hAnsi="Times New Roman" w:cs="Times New Roman"/>
                <w:sz w:val="18"/>
              </w:rPr>
            </w:pPr>
            <w:r>
              <w:rPr>
                <w:rFonts w:hint="default" w:ascii="Times New Roman" w:hAnsi="Times New Roman" w:cs="Times New Roman"/>
                <w:sz w:val="18"/>
              </w:rPr>
              <w:t>制定或修订</w:t>
            </w:r>
          </w:p>
        </w:tc>
        <w:tc>
          <w:tcPr>
            <w:tcW w:w="1530" w:type="dxa"/>
            <w:gridSpan w:val="2"/>
            <w:tcBorders>
              <w:top w:val="single" w:color="auto" w:sz="4" w:space="0"/>
              <w:left w:val="single" w:color="auto" w:sz="4" w:space="0"/>
              <w:bottom w:val="single" w:color="auto" w:sz="4" w:space="0"/>
              <w:right w:val="single" w:color="auto" w:sz="4" w:space="0"/>
            </w:tcBorders>
            <w:vAlign w:val="center"/>
          </w:tcPr>
          <w:p w14:paraId="39A3286A">
            <w:pPr>
              <w:ind w:firstLine="210" w:firstLineChars="100"/>
              <w:rPr>
                <w:rFonts w:hint="default" w:ascii="Times New Roman" w:hAnsi="Times New Roman" w:cs="Times New Roman"/>
                <w:sz w:val="18"/>
              </w:rPr>
            </w:pPr>
            <w:r>
              <w:rPr>
                <w:rFonts w:hint="default" w:ascii="Times New Roman" w:hAnsi="Times New Roman" w:cs="Times New Roman"/>
                <w:szCs w:val="21"/>
              </w:rPr>
              <w:t>■</w:t>
            </w:r>
            <w:r>
              <w:rPr>
                <w:rFonts w:hint="default" w:ascii="Times New Roman" w:hAnsi="Times New Roman" w:cs="Times New Roman"/>
                <w:sz w:val="18"/>
              </w:rPr>
              <w:t>制定</w:t>
            </w:r>
          </w:p>
        </w:tc>
        <w:tc>
          <w:tcPr>
            <w:tcW w:w="1534" w:type="dxa"/>
            <w:gridSpan w:val="3"/>
            <w:tcBorders>
              <w:top w:val="single" w:color="auto" w:sz="4" w:space="0"/>
              <w:left w:val="single" w:color="auto" w:sz="4" w:space="0"/>
              <w:bottom w:val="single" w:color="auto" w:sz="4" w:space="0"/>
              <w:right w:val="single" w:color="auto" w:sz="4" w:space="0"/>
            </w:tcBorders>
            <w:vAlign w:val="center"/>
          </w:tcPr>
          <w:p w14:paraId="435248C5">
            <w:pPr>
              <w:rPr>
                <w:rFonts w:hint="default" w:ascii="Times New Roman" w:hAnsi="Times New Roman" w:cs="Times New Roman"/>
                <w:sz w:val="18"/>
              </w:rPr>
            </w:pPr>
            <w:r>
              <w:rPr>
                <w:rFonts w:hint="default" w:ascii="Times New Roman" w:hAnsi="Times New Roman" w:cs="Times New Roman"/>
                <w:szCs w:val="21"/>
              </w:rPr>
              <w:t>□</w:t>
            </w:r>
            <w:r>
              <w:rPr>
                <w:rFonts w:hint="default" w:ascii="Times New Roman" w:hAnsi="Times New Roman" w:cs="Times New Roman"/>
                <w:sz w:val="18"/>
              </w:rPr>
              <w:t>修订</w:t>
            </w:r>
          </w:p>
        </w:tc>
        <w:tc>
          <w:tcPr>
            <w:tcW w:w="1616" w:type="dxa"/>
            <w:gridSpan w:val="3"/>
            <w:tcBorders>
              <w:top w:val="single" w:color="auto" w:sz="4" w:space="0"/>
              <w:left w:val="single" w:color="auto" w:sz="4" w:space="0"/>
              <w:bottom w:val="single" w:color="auto" w:sz="4" w:space="0"/>
              <w:right w:val="single" w:color="auto" w:sz="4" w:space="0"/>
            </w:tcBorders>
            <w:vAlign w:val="center"/>
          </w:tcPr>
          <w:p w14:paraId="46BE7460">
            <w:pPr>
              <w:rPr>
                <w:rFonts w:hint="default" w:ascii="Times New Roman" w:hAnsi="Times New Roman" w:cs="Times New Roman"/>
                <w:sz w:val="18"/>
              </w:rPr>
            </w:pPr>
            <w:r>
              <w:rPr>
                <w:rFonts w:hint="default" w:ascii="Times New Roman" w:hAnsi="Times New Roman" w:cs="Times New Roman"/>
                <w:sz w:val="18"/>
              </w:rPr>
              <w:t>被修订标准号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14:paraId="1383534E">
            <w:pPr>
              <w:rPr>
                <w:rFonts w:hint="default" w:ascii="Times New Roman" w:hAnsi="Times New Roman" w:cs="Times New Roman"/>
                <w:sz w:val="18"/>
              </w:rPr>
            </w:pPr>
          </w:p>
        </w:tc>
      </w:tr>
      <w:tr w14:paraId="4CF511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46AF8D21">
            <w:pPr>
              <w:rPr>
                <w:rFonts w:hint="default" w:ascii="Times New Roman" w:hAnsi="Times New Roman" w:cs="Times New Roman"/>
                <w:sz w:val="18"/>
              </w:rPr>
            </w:pPr>
            <w:r>
              <w:rPr>
                <w:rFonts w:hint="default" w:ascii="Times New Roman" w:hAnsi="Times New Roman" w:cs="Times New Roman"/>
                <w:sz w:val="18"/>
              </w:rPr>
              <w:t>采用程度</w:t>
            </w:r>
          </w:p>
        </w:tc>
        <w:tc>
          <w:tcPr>
            <w:tcW w:w="1080" w:type="dxa"/>
            <w:tcBorders>
              <w:top w:val="single" w:color="auto" w:sz="4" w:space="0"/>
              <w:left w:val="single" w:color="auto" w:sz="4" w:space="0"/>
              <w:bottom w:val="single" w:color="auto" w:sz="4" w:space="0"/>
              <w:right w:val="single" w:color="auto" w:sz="4" w:space="0"/>
            </w:tcBorders>
            <w:vAlign w:val="center"/>
          </w:tcPr>
          <w:p w14:paraId="57C602E1">
            <w:pPr>
              <w:rPr>
                <w:rFonts w:hint="default" w:ascii="Times New Roman" w:hAnsi="Times New Roman" w:cs="Times New Roman"/>
                <w:sz w:val="18"/>
              </w:rPr>
            </w:pPr>
            <w:r>
              <w:rPr>
                <w:rFonts w:hint="default" w:ascii="Times New Roman" w:hAnsi="Times New Roman" w:cs="Times New Roman"/>
                <w:szCs w:val="21"/>
              </w:rPr>
              <w:t>□</w:t>
            </w:r>
            <w:r>
              <w:rPr>
                <w:rFonts w:hint="default" w:ascii="Times New Roman" w:hAnsi="Times New Roman" w:cs="Times New Roman"/>
                <w:sz w:val="18"/>
              </w:rPr>
              <w:t>IDT</w:t>
            </w:r>
          </w:p>
        </w:tc>
        <w:tc>
          <w:tcPr>
            <w:tcW w:w="900" w:type="dxa"/>
            <w:gridSpan w:val="3"/>
            <w:tcBorders>
              <w:top w:val="single" w:color="auto" w:sz="4" w:space="0"/>
              <w:left w:val="single" w:color="auto" w:sz="4" w:space="0"/>
              <w:bottom w:val="single" w:color="auto" w:sz="4" w:space="0"/>
              <w:right w:val="single" w:color="auto" w:sz="4" w:space="0"/>
            </w:tcBorders>
            <w:vAlign w:val="center"/>
          </w:tcPr>
          <w:p w14:paraId="62694E0C">
            <w:pPr>
              <w:rPr>
                <w:rFonts w:hint="default" w:ascii="Times New Roman" w:hAnsi="Times New Roman" w:cs="Times New Roman"/>
                <w:sz w:val="18"/>
              </w:rPr>
            </w:pPr>
            <w:r>
              <w:rPr>
                <w:rFonts w:hint="default" w:ascii="Times New Roman" w:hAnsi="Times New Roman" w:cs="Times New Roman"/>
                <w:szCs w:val="21"/>
              </w:rPr>
              <w:t>□</w:t>
            </w:r>
            <w:r>
              <w:rPr>
                <w:rFonts w:hint="default" w:ascii="Times New Roman" w:hAnsi="Times New Roman" w:cs="Times New Roman"/>
                <w:sz w:val="18"/>
              </w:rPr>
              <w:t>MOD</w:t>
            </w:r>
          </w:p>
        </w:tc>
        <w:tc>
          <w:tcPr>
            <w:tcW w:w="1084" w:type="dxa"/>
            <w:tcBorders>
              <w:top w:val="single" w:color="auto" w:sz="4" w:space="0"/>
              <w:left w:val="single" w:color="auto" w:sz="4" w:space="0"/>
              <w:bottom w:val="single" w:color="auto" w:sz="4" w:space="0"/>
              <w:right w:val="single" w:color="auto" w:sz="4" w:space="0"/>
            </w:tcBorders>
            <w:vAlign w:val="center"/>
          </w:tcPr>
          <w:p w14:paraId="7CE41A2B">
            <w:pPr>
              <w:rPr>
                <w:rFonts w:hint="default" w:ascii="Times New Roman" w:hAnsi="Times New Roman" w:cs="Times New Roman"/>
                <w:sz w:val="18"/>
              </w:rPr>
            </w:pPr>
            <w:r>
              <w:rPr>
                <w:rFonts w:hint="default" w:ascii="Times New Roman" w:hAnsi="Times New Roman" w:cs="Times New Roman"/>
                <w:szCs w:val="21"/>
              </w:rPr>
              <w:t>□</w:t>
            </w:r>
            <w:r>
              <w:rPr>
                <w:rFonts w:hint="default" w:ascii="Times New Roman" w:hAnsi="Times New Roman" w:cs="Times New Roman"/>
                <w:sz w:val="18"/>
              </w:rPr>
              <w:t>NEQ</w:t>
            </w:r>
          </w:p>
        </w:tc>
        <w:tc>
          <w:tcPr>
            <w:tcW w:w="1616" w:type="dxa"/>
            <w:gridSpan w:val="3"/>
            <w:tcBorders>
              <w:top w:val="single" w:color="auto" w:sz="4" w:space="0"/>
              <w:left w:val="single" w:color="auto" w:sz="4" w:space="0"/>
              <w:bottom w:val="single" w:color="auto" w:sz="4" w:space="0"/>
              <w:right w:val="single" w:color="auto" w:sz="4" w:space="0"/>
            </w:tcBorders>
            <w:vAlign w:val="center"/>
          </w:tcPr>
          <w:p w14:paraId="55CCCE78">
            <w:pPr>
              <w:rPr>
                <w:rFonts w:hint="default" w:ascii="Times New Roman" w:hAnsi="Times New Roman" w:cs="Times New Roman"/>
                <w:sz w:val="18"/>
              </w:rPr>
            </w:pPr>
            <w:r>
              <w:rPr>
                <w:rFonts w:hint="default" w:ascii="Times New Roman" w:hAnsi="Times New Roman" w:cs="Times New Roman"/>
                <w:sz w:val="18"/>
              </w:rPr>
              <w:t>采标号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14:paraId="2D19AC55">
            <w:pPr>
              <w:rPr>
                <w:rFonts w:hint="default" w:ascii="Times New Roman" w:hAnsi="Times New Roman" w:cs="Times New Roman"/>
                <w:sz w:val="18"/>
              </w:rPr>
            </w:pPr>
          </w:p>
        </w:tc>
      </w:tr>
      <w:tr w14:paraId="261353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0AB10B6">
            <w:pPr>
              <w:pStyle w:val="4"/>
              <w:pBdr>
                <w:bottom w:val="none" w:color="auto" w:sz="0" w:space="0"/>
              </w:pBdr>
              <w:tabs>
                <w:tab w:val="left" w:pos="420"/>
              </w:tabs>
              <w:snapToGrid/>
              <w:jc w:val="both"/>
              <w:rPr>
                <w:rFonts w:hint="default" w:ascii="Times New Roman" w:hAnsi="Times New Roman" w:cs="Times New Roman"/>
                <w:szCs w:val="24"/>
              </w:rPr>
            </w:pPr>
            <w:r>
              <w:rPr>
                <w:rFonts w:hint="default" w:ascii="Times New Roman" w:hAnsi="Times New Roman" w:cs="Times New Roman"/>
              </w:rPr>
              <w:t>国际标准</w:t>
            </w:r>
            <w:r>
              <w:rPr>
                <w:rFonts w:hint="default" w:ascii="Times New Roman" w:hAnsi="Times New Roman" w:cs="Times New Roman"/>
                <w:szCs w:val="24"/>
              </w:rPr>
              <w:t>名称</w:t>
            </w:r>
          </w:p>
          <w:p w14:paraId="6DAD0F33">
            <w:pPr>
              <w:rPr>
                <w:rFonts w:hint="default" w:ascii="Times New Roman" w:hAnsi="Times New Roman" w:cs="Times New Roman"/>
                <w:sz w:val="18"/>
              </w:rPr>
            </w:pPr>
            <w:r>
              <w:rPr>
                <w:rFonts w:hint="default" w:ascii="Times New Roman" w:hAnsi="Times New Roman" w:cs="Times New Roman"/>
                <w:sz w:val="18"/>
              </w:rPr>
              <w:t>(中文)</w:t>
            </w:r>
          </w:p>
        </w:tc>
        <w:tc>
          <w:tcPr>
            <w:tcW w:w="3064" w:type="dxa"/>
            <w:gridSpan w:val="5"/>
            <w:tcBorders>
              <w:top w:val="single" w:color="auto" w:sz="4" w:space="0"/>
              <w:left w:val="single" w:color="auto" w:sz="4" w:space="0"/>
              <w:bottom w:val="single" w:color="auto" w:sz="4" w:space="0"/>
              <w:right w:val="single" w:color="auto" w:sz="4" w:space="0"/>
            </w:tcBorders>
            <w:vAlign w:val="center"/>
          </w:tcPr>
          <w:p w14:paraId="232D05C0">
            <w:pPr>
              <w:rPr>
                <w:rFonts w:hint="default" w:ascii="Times New Roman" w:hAnsi="Times New Roman" w:cs="Times New Roman"/>
                <w:sz w:val="18"/>
              </w:rPr>
            </w:pPr>
          </w:p>
        </w:tc>
        <w:tc>
          <w:tcPr>
            <w:tcW w:w="1616" w:type="dxa"/>
            <w:gridSpan w:val="3"/>
            <w:tcBorders>
              <w:top w:val="single" w:color="auto" w:sz="4" w:space="0"/>
              <w:left w:val="single" w:color="auto" w:sz="4" w:space="0"/>
              <w:bottom w:val="single" w:color="auto" w:sz="4" w:space="0"/>
              <w:right w:val="single" w:color="auto" w:sz="4" w:space="0"/>
            </w:tcBorders>
            <w:vAlign w:val="center"/>
          </w:tcPr>
          <w:p w14:paraId="114251B9">
            <w:pPr>
              <w:rPr>
                <w:rFonts w:hint="default" w:ascii="Times New Roman" w:hAnsi="Times New Roman" w:cs="Times New Roman"/>
                <w:sz w:val="18"/>
                <w:szCs w:val="18"/>
              </w:rPr>
            </w:pPr>
            <w:r>
              <w:rPr>
                <w:rFonts w:hint="default" w:ascii="Times New Roman" w:hAnsi="Times New Roman" w:cs="Times New Roman"/>
                <w:sz w:val="18"/>
                <w:szCs w:val="18"/>
              </w:rPr>
              <w:t>国际标准名称</w:t>
            </w:r>
          </w:p>
          <w:p w14:paraId="3845D7CF">
            <w:pPr>
              <w:rPr>
                <w:rFonts w:hint="default" w:ascii="Times New Roman" w:hAnsi="Times New Roman" w:cs="Times New Roman"/>
                <w:sz w:val="18"/>
              </w:rPr>
            </w:pPr>
            <w:r>
              <w:rPr>
                <w:rFonts w:hint="default" w:ascii="Times New Roman" w:hAnsi="Times New Roman" w:cs="Times New Roman"/>
                <w:sz w:val="18"/>
                <w:szCs w:val="18"/>
              </w:rPr>
              <w:t>(英文)</w:t>
            </w:r>
          </w:p>
        </w:tc>
        <w:tc>
          <w:tcPr>
            <w:tcW w:w="2942" w:type="dxa"/>
            <w:gridSpan w:val="3"/>
            <w:tcBorders>
              <w:top w:val="single" w:color="auto" w:sz="4" w:space="0"/>
              <w:left w:val="single" w:color="auto" w:sz="4" w:space="0"/>
              <w:bottom w:val="single" w:color="auto" w:sz="4" w:space="0"/>
              <w:right w:val="single" w:color="auto" w:sz="4" w:space="0"/>
            </w:tcBorders>
            <w:vAlign w:val="center"/>
          </w:tcPr>
          <w:p w14:paraId="6A75037A">
            <w:pPr>
              <w:rPr>
                <w:rFonts w:hint="default" w:ascii="Times New Roman" w:hAnsi="Times New Roman" w:cs="Times New Roman"/>
                <w:sz w:val="18"/>
              </w:rPr>
            </w:pPr>
          </w:p>
        </w:tc>
      </w:tr>
      <w:tr w14:paraId="2DAF4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4E645EF3">
            <w:pPr>
              <w:rPr>
                <w:rFonts w:hint="default" w:ascii="Times New Roman" w:hAnsi="Times New Roman" w:cs="Times New Roman"/>
                <w:sz w:val="18"/>
              </w:rPr>
            </w:pPr>
            <w:r>
              <w:rPr>
                <w:rFonts w:hint="default" w:ascii="Times New Roman" w:hAnsi="Times New Roman" w:cs="Times New Roman"/>
                <w:sz w:val="18"/>
              </w:rPr>
              <w:t>采用快速程序</w:t>
            </w:r>
          </w:p>
        </w:tc>
        <w:tc>
          <w:tcPr>
            <w:tcW w:w="3064" w:type="dxa"/>
            <w:gridSpan w:val="5"/>
            <w:tcBorders>
              <w:top w:val="single" w:color="auto" w:sz="4" w:space="0"/>
              <w:left w:val="single" w:color="auto" w:sz="4" w:space="0"/>
              <w:bottom w:val="single" w:color="auto" w:sz="4" w:space="0"/>
              <w:right w:val="single" w:color="auto" w:sz="4" w:space="0"/>
            </w:tcBorders>
            <w:vAlign w:val="center"/>
          </w:tcPr>
          <w:p w14:paraId="7B9B6757">
            <w:pPr>
              <w:rPr>
                <w:rFonts w:hint="default" w:ascii="Times New Roman" w:hAnsi="Times New Roman" w:cs="Times New Roman"/>
                <w:sz w:val="18"/>
              </w:rPr>
            </w:pPr>
            <w:r>
              <w:rPr>
                <w:rFonts w:hint="default" w:ascii="Times New Roman" w:hAnsi="Times New Roman" w:cs="Times New Roman"/>
                <w:szCs w:val="21"/>
              </w:rPr>
              <w:t>□</w:t>
            </w:r>
            <w:r>
              <w:rPr>
                <w:rFonts w:hint="default" w:ascii="Times New Roman" w:hAnsi="Times New Roman" w:cs="Times New Roman"/>
                <w:sz w:val="18"/>
              </w:rPr>
              <w:t>FTP</w:t>
            </w:r>
          </w:p>
        </w:tc>
        <w:tc>
          <w:tcPr>
            <w:tcW w:w="1616" w:type="dxa"/>
            <w:gridSpan w:val="3"/>
            <w:tcBorders>
              <w:top w:val="single" w:color="auto" w:sz="4" w:space="0"/>
              <w:left w:val="single" w:color="auto" w:sz="4" w:space="0"/>
              <w:bottom w:val="single" w:color="auto" w:sz="4" w:space="0"/>
              <w:right w:val="single" w:color="auto" w:sz="4" w:space="0"/>
            </w:tcBorders>
            <w:vAlign w:val="center"/>
          </w:tcPr>
          <w:p w14:paraId="13D8775C">
            <w:pPr>
              <w:rPr>
                <w:rFonts w:hint="default" w:ascii="Times New Roman" w:hAnsi="Times New Roman" w:cs="Times New Roman"/>
                <w:sz w:val="18"/>
              </w:rPr>
            </w:pPr>
            <w:r>
              <w:rPr>
                <w:rFonts w:hint="default" w:ascii="Times New Roman" w:hAnsi="Times New Roman" w:cs="Times New Roman"/>
                <w:sz w:val="18"/>
              </w:rPr>
              <w:t>快速程序代码</w:t>
            </w:r>
          </w:p>
        </w:tc>
        <w:tc>
          <w:tcPr>
            <w:tcW w:w="1381" w:type="dxa"/>
            <w:tcBorders>
              <w:top w:val="single" w:color="auto" w:sz="4" w:space="0"/>
              <w:left w:val="single" w:color="auto" w:sz="4" w:space="0"/>
              <w:bottom w:val="single" w:color="auto" w:sz="4" w:space="0"/>
              <w:right w:val="single" w:color="auto" w:sz="4" w:space="0"/>
            </w:tcBorders>
            <w:vAlign w:val="center"/>
          </w:tcPr>
          <w:p w14:paraId="7267B68C">
            <w:pPr>
              <w:rPr>
                <w:rFonts w:hint="default" w:ascii="Times New Roman" w:hAnsi="Times New Roman" w:cs="Times New Roman"/>
                <w:sz w:val="18"/>
              </w:rPr>
            </w:pPr>
            <w:r>
              <w:rPr>
                <w:rFonts w:hint="default" w:ascii="Times New Roman" w:hAnsi="Times New Roman" w:cs="Times New Roman"/>
                <w:szCs w:val="21"/>
              </w:rPr>
              <w:t>□</w:t>
            </w:r>
            <w:r>
              <w:rPr>
                <w:rFonts w:hint="default" w:ascii="Times New Roman" w:hAnsi="Times New Roman" w:cs="Times New Roman"/>
                <w:sz w:val="18"/>
              </w:rPr>
              <w:t>B</w:t>
            </w:r>
          </w:p>
        </w:tc>
        <w:tc>
          <w:tcPr>
            <w:tcW w:w="1561" w:type="dxa"/>
            <w:gridSpan w:val="2"/>
            <w:tcBorders>
              <w:top w:val="single" w:color="auto" w:sz="4" w:space="0"/>
              <w:left w:val="single" w:color="auto" w:sz="4" w:space="0"/>
              <w:bottom w:val="single" w:color="auto" w:sz="4" w:space="0"/>
              <w:right w:val="single" w:color="auto" w:sz="4" w:space="0"/>
            </w:tcBorders>
            <w:vAlign w:val="center"/>
          </w:tcPr>
          <w:p w14:paraId="0FD3068F">
            <w:pPr>
              <w:rPr>
                <w:rFonts w:hint="default" w:ascii="Times New Roman" w:hAnsi="Times New Roman" w:cs="Times New Roman"/>
                <w:sz w:val="18"/>
              </w:rPr>
            </w:pPr>
            <w:r>
              <w:rPr>
                <w:rFonts w:hint="default" w:ascii="Times New Roman" w:hAnsi="Times New Roman" w:cs="Times New Roman"/>
                <w:szCs w:val="21"/>
              </w:rPr>
              <w:t>□</w:t>
            </w:r>
            <w:r>
              <w:rPr>
                <w:rFonts w:hint="default" w:ascii="Times New Roman" w:hAnsi="Times New Roman" w:cs="Times New Roman"/>
                <w:sz w:val="18"/>
              </w:rPr>
              <w:t>C</w:t>
            </w:r>
          </w:p>
        </w:tc>
      </w:tr>
      <w:tr w14:paraId="401814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3913DF71">
            <w:pPr>
              <w:rPr>
                <w:rFonts w:hint="default" w:ascii="Times New Roman" w:hAnsi="Times New Roman" w:cs="Times New Roman"/>
                <w:sz w:val="18"/>
              </w:rPr>
            </w:pPr>
            <w:r>
              <w:rPr>
                <w:rFonts w:hint="default" w:ascii="Times New Roman" w:hAnsi="Times New Roman" w:cs="Times New Roman"/>
                <w:sz w:val="18"/>
              </w:rPr>
              <w:t>ICS分类号</w:t>
            </w:r>
          </w:p>
        </w:tc>
        <w:tc>
          <w:tcPr>
            <w:tcW w:w="3064" w:type="dxa"/>
            <w:gridSpan w:val="5"/>
            <w:tcBorders>
              <w:top w:val="single" w:color="auto" w:sz="4" w:space="0"/>
              <w:left w:val="single" w:color="auto" w:sz="4" w:space="0"/>
              <w:bottom w:val="single" w:color="auto" w:sz="4" w:space="0"/>
              <w:right w:val="single" w:color="auto" w:sz="4" w:space="0"/>
            </w:tcBorders>
            <w:vAlign w:val="center"/>
          </w:tcPr>
          <w:p w14:paraId="4A6FD6D4">
            <w:pPr>
              <w:jc w:val="center"/>
              <w:rPr>
                <w:rFonts w:hint="default" w:ascii="Times New Roman" w:hAnsi="Times New Roman" w:cs="Times New Roman"/>
                <w:sz w:val="18"/>
              </w:rPr>
            </w:pPr>
            <w:r>
              <w:rPr>
                <w:rFonts w:hint="default" w:ascii="Times New Roman" w:hAnsi="Times New Roman" w:cs="Times New Roman"/>
                <w:sz w:val="18"/>
              </w:rPr>
              <w:t>13.020.10</w:t>
            </w:r>
          </w:p>
        </w:tc>
        <w:tc>
          <w:tcPr>
            <w:tcW w:w="1616" w:type="dxa"/>
            <w:gridSpan w:val="3"/>
            <w:tcBorders>
              <w:top w:val="single" w:color="auto" w:sz="4" w:space="0"/>
              <w:left w:val="single" w:color="auto" w:sz="4" w:space="0"/>
              <w:bottom w:val="single" w:color="auto" w:sz="4" w:space="0"/>
              <w:right w:val="single" w:color="auto" w:sz="4" w:space="0"/>
            </w:tcBorders>
            <w:vAlign w:val="center"/>
          </w:tcPr>
          <w:p w14:paraId="3F91689E">
            <w:pPr>
              <w:rPr>
                <w:rFonts w:hint="default" w:ascii="Times New Roman" w:hAnsi="Times New Roman" w:cs="Times New Roman"/>
                <w:sz w:val="18"/>
              </w:rPr>
            </w:pPr>
            <w:r>
              <w:rPr>
                <w:rFonts w:hint="default" w:ascii="Times New Roman" w:hAnsi="Times New Roman" w:cs="Times New Roman"/>
                <w:sz w:val="18"/>
              </w:rPr>
              <w:t>中国标准分类号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14:paraId="48675AED">
            <w:pPr>
              <w:rPr>
                <w:rFonts w:hint="default" w:ascii="Times New Roman" w:hAnsi="Times New Roman" w:cs="Times New Roman"/>
                <w:sz w:val="18"/>
              </w:rPr>
            </w:pPr>
            <w:r>
              <w:rPr>
                <w:rFonts w:hint="default" w:ascii="Times New Roman" w:hAnsi="Times New Roman" w:cs="Times New Roman"/>
                <w:sz w:val="18"/>
              </w:rPr>
              <w:t>Z04</w:t>
            </w:r>
          </w:p>
        </w:tc>
      </w:tr>
      <w:tr w14:paraId="75A16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6DD53B5">
            <w:pPr>
              <w:rPr>
                <w:rFonts w:hint="default" w:ascii="Times New Roman" w:hAnsi="Times New Roman" w:cs="Times New Roman"/>
                <w:sz w:val="18"/>
              </w:rPr>
            </w:pPr>
            <w:r>
              <w:rPr>
                <w:rFonts w:hint="default" w:ascii="Times New Roman" w:hAnsi="Times New Roman" w:cs="Times New Roman"/>
                <w:sz w:val="18"/>
                <w:szCs w:val="18"/>
              </w:rPr>
              <w:t>牵头</w:t>
            </w:r>
            <w:r>
              <w:rPr>
                <w:rFonts w:hint="default" w:ascii="Times New Roman" w:hAnsi="Times New Roman" w:cs="Times New Roman"/>
                <w:sz w:val="18"/>
              </w:rPr>
              <w:t>单位</w:t>
            </w:r>
          </w:p>
        </w:tc>
        <w:tc>
          <w:tcPr>
            <w:tcW w:w="3064" w:type="dxa"/>
            <w:gridSpan w:val="5"/>
            <w:tcBorders>
              <w:top w:val="single" w:color="auto" w:sz="4" w:space="0"/>
              <w:left w:val="single" w:color="auto" w:sz="4" w:space="0"/>
              <w:bottom w:val="single" w:color="auto" w:sz="4" w:space="0"/>
              <w:right w:val="single" w:color="auto" w:sz="4" w:space="0"/>
            </w:tcBorders>
            <w:vAlign w:val="center"/>
          </w:tcPr>
          <w:p w14:paraId="23E14F6D">
            <w:pPr>
              <w:rPr>
                <w:rFonts w:hint="default" w:ascii="Times New Roman" w:hAnsi="Times New Roman" w:cs="Times New Roman"/>
                <w:sz w:val="18"/>
              </w:rPr>
            </w:pPr>
            <w:r>
              <w:rPr>
                <w:rFonts w:hint="default" w:ascii="Times New Roman" w:hAnsi="Times New Roman" w:cs="Times New Roman"/>
                <w:sz w:val="18"/>
              </w:rPr>
              <w:t>清华苏州环境创新研究院、北京科立科盈科技有限公司、风清阳（</w:t>
            </w:r>
            <w:bookmarkStart w:id="0" w:name="_GoBack"/>
            <w:bookmarkEnd w:id="0"/>
            <w:r>
              <w:rPr>
                <w:rFonts w:hint="default" w:ascii="Times New Roman" w:hAnsi="Times New Roman" w:cs="Times New Roman"/>
                <w:sz w:val="18"/>
              </w:rPr>
              <w:t>苏州）循环科技有限公司</w:t>
            </w:r>
          </w:p>
        </w:tc>
        <w:tc>
          <w:tcPr>
            <w:tcW w:w="1616" w:type="dxa"/>
            <w:gridSpan w:val="3"/>
            <w:tcBorders>
              <w:top w:val="single" w:color="auto" w:sz="4" w:space="0"/>
              <w:left w:val="single" w:color="auto" w:sz="4" w:space="0"/>
              <w:bottom w:val="single" w:color="auto" w:sz="4" w:space="0"/>
              <w:right w:val="single" w:color="auto" w:sz="4" w:space="0"/>
            </w:tcBorders>
            <w:vAlign w:val="center"/>
          </w:tcPr>
          <w:p w14:paraId="15B0C811">
            <w:pPr>
              <w:ind w:firstLine="180" w:firstLineChars="100"/>
              <w:rPr>
                <w:rFonts w:hint="default" w:ascii="Times New Roman" w:hAnsi="Times New Roman" w:cs="Times New Roman"/>
                <w:sz w:val="18"/>
              </w:rPr>
            </w:pPr>
            <w:r>
              <w:rPr>
                <w:rFonts w:hint="default" w:ascii="Times New Roman" w:hAnsi="Times New Roman" w:cs="Times New Roman"/>
                <w:sz w:val="18"/>
              </w:rPr>
              <w:t>体系编号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14:paraId="39F7E1E2">
            <w:pPr>
              <w:rPr>
                <w:rFonts w:hint="default" w:ascii="Times New Roman" w:hAnsi="Times New Roman" w:cs="Times New Roman"/>
                <w:sz w:val="18"/>
              </w:rPr>
            </w:pPr>
          </w:p>
        </w:tc>
      </w:tr>
      <w:tr w14:paraId="29C58B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4CEAE06A">
            <w:pPr>
              <w:rPr>
                <w:rFonts w:hint="default" w:ascii="Times New Roman" w:hAnsi="Times New Roman" w:cs="Times New Roman"/>
                <w:sz w:val="18"/>
              </w:rPr>
            </w:pPr>
            <w:r>
              <w:rPr>
                <w:rFonts w:hint="default" w:ascii="Times New Roman" w:hAnsi="Times New Roman" w:cs="Times New Roman"/>
                <w:sz w:val="18"/>
              </w:rPr>
              <w:t>参加单位</w:t>
            </w:r>
          </w:p>
        </w:tc>
        <w:tc>
          <w:tcPr>
            <w:tcW w:w="3064" w:type="dxa"/>
            <w:gridSpan w:val="5"/>
            <w:tcBorders>
              <w:top w:val="single" w:color="auto" w:sz="4" w:space="0"/>
              <w:left w:val="single" w:color="auto" w:sz="4" w:space="0"/>
              <w:bottom w:val="single" w:color="auto" w:sz="4" w:space="0"/>
              <w:right w:val="single" w:color="auto" w:sz="4" w:space="0"/>
            </w:tcBorders>
            <w:vAlign w:val="center"/>
          </w:tcPr>
          <w:p w14:paraId="69B01A3F">
            <w:pPr>
              <w:rPr>
                <w:rFonts w:hint="default" w:ascii="Times New Roman" w:hAnsi="Times New Roman" w:cs="Times New Roman"/>
                <w:sz w:val="18"/>
              </w:rPr>
            </w:pPr>
            <w:r>
              <w:rPr>
                <w:rFonts w:hint="default" w:ascii="Times New Roman" w:hAnsi="Times New Roman" w:cs="Times New Roman"/>
                <w:sz w:val="18"/>
              </w:rPr>
              <w:t>榆林科立科盈科技有限公司</w:t>
            </w:r>
          </w:p>
        </w:tc>
        <w:tc>
          <w:tcPr>
            <w:tcW w:w="1609" w:type="dxa"/>
            <w:gridSpan w:val="2"/>
            <w:tcBorders>
              <w:top w:val="single" w:color="auto" w:sz="4" w:space="0"/>
              <w:left w:val="single" w:color="auto" w:sz="4" w:space="0"/>
              <w:bottom w:val="single" w:color="auto" w:sz="4" w:space="0"/>
              <w:right w:val="single" w:color="auto" w:sz="4" w:space="0"/>
            </w:tcBorders>
            <w:vAlign w:val="center"/>
          </w:tcPr>
          <w:p w14:paraId="23EBD7A1">
            <w:pPr>
              <w:jc w:val="center"/>
              <w:rPr>
                <w:rFonts w:hint="default" w:ascii="Times New Roman" w:hAnsi="Times New Roman" w:cs="Times New Roman"/>
                <w:sz w:val="18"/>
              </w:rPr>
            </w:pPr>
            <w:r>
              <w:rPr>
                <w:rFonts w:hint="default" w:ascii="Times New Roman" w:hAnsi="Times New Roman" w:cs="Times New Roman"/>
                <w:sz w:val="18"/>
              </w:rPr>
              <w:t>计划起止时间</w:t>
            </w:r>
          </w:p>
        </w:tc>
        <w:tc>
          <w:tcPr>
            <w:tcW w:w="2949" w:type="dxa"/>
            <w:gridSpan w:val="4"/>
            <w:tcBorders>
              <w:top w:val="single" w:color="auto" w:sz="4" w:space="0"/>
              <w:left w:val="single" w:color="auto" w:sz="4" w:space="0"/>
              <w:bottom w:val="single" w:color="auto" w:sz="4" w:space="0"/>
              <w:right w:val="single" w:color="auto" w:sz="4" w:space="0"/>
            </w:tcBorders>
            <w:vAlign w:val="center"/>
          </w:tcPr>
          <w:p w14:paraId="29BBEED1">
            <w:pPr>
              <w:rPr>
                <w:rFonts w:hint="default" w:ascii="Times New Roman" w:hAnsi="Times New Roman" w:cs="Times New Roman"/>
                <w:sz w:val="18"/>
              </w:rPr>
            </w:pPr>
            <w:r>
              <w:rPr>
                <w:rFonts w:hint="default" w:ascii="Times New Roman" w:hAnsi="Times New Roman" w:cs="Times New Roman"/>
                <w:sz w:val="18"/>
              </w:rPr>
              <w:t>2026年1月~2026年12月</w:t>
            </w:r>
          </w:p>
        </w:tc>
      </w:tr>
      <w:tr w14:paraId="608DC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1A8BB407">
            <w:pPr>
              <w:rPr>
                <w:rFonts w:hint="default" w:ascii="Times New Roman" w:hAnsi="Times New Roman" w:cs="Times New Roman"/>
                <w:sz w:val="18"/>
              </w:rPr>
            </w:pPr>
            <w:r>
              <w:rPr>
                <w:rFonts w:hint="default" w:ascii="Times New Roman" w:hAnsi="Times New Roman" w:cs="Times New Roman"/>
                <w:sz w:val="18"/>
              </w:rPr>
              <w:t>目的、意义或必要性</w:t>
            </w:r>
          </w:p>
        </w:tc>
        <w:tc>
          <w:tcPr>
            <w:tcW w:w="7622" w:type="dxa"/>
            <w:gridSpan w:val="11"/>
            <w:tcBorders>
              <w:top w:val="single" w:color="auto" w:sz="4" w:space="0"/>
              <w:left w:val="single" w:color="auto" w:sz="4" w:space="0"/>
              <w:bottom w:val="single" w:color="auto" w:sz="4" w:space="0"/>
              <w:right w:val="single" w:color="auto" w:sz="4" w:space="0"/>
            </w:tcBorders>
            <w:vAlign w:val="center"/>
          </w:tcPr>
          <w:p w14:paraId="4457BEB6">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我国煤化工产业每年产生数量庞大的煤气化渣。据统计，2023年全国气化渣产生量约8800万吨，综合利用率低，主要以堆存和填埋方式处置，累计堆存量已超3亿吨。大量填埋不仅占用土地资源，在雨水淋溶下还面临重金属浸出污染土壤和水体的环境风险，细颗粒粉尘污染也威胁周边生态环境安全。同时，煤气化渣富含SiO₂、Al₂O₃、CaO等有价成分，简单填埋造成严重的资源浪费。</w:t>
            </w:r>
          </w:p>
          <w:p w14:paraId="5BCB6ABB">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在国务院印发的《固体废物综合治理行动计划》（国发〔2025〕14号，简称“固废十条”）中，提升大宗工业固废综合利用率、降低环境风险被列为核心目标之一。将煤气化渣转化为岩纤板等无机纤维板材，直接契合“固废十条”中“提升工业固废资源化利用水平”的要求；碳减排量评估则为这一路径的环境效益提供量化依据，符合“完善法规标准和技术体系”的政策导向，对落实“双碳”目标具有重要意义。</w:t>
            </w:r>
          </w:p>
          <w:p w14:paraId="77218A37">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本项目所依托的煤气化渣制岩纤板技术，与传统以天然矿石为原料生产</w:t>
            </w:r>
            <w:r>
              <w:rPr>
                <w:rFonts w:hint="eastAsia" w:ascii="Times New Roman" w:hAnsi="Times New Roman" w:cs="Times New Roman"/>
                <w:sz w:val="18"/>
                <w:szCs w:val="18"/>
                <w:lang w:val="en-US" w:eastAsia="zh-CN"/>
              </w:rPr>
              <w:t>岩纤板</w:t>
            </w:r>
            <w:r>
              <w:rPr>
                <w:rFonts w:hint="default" w:ascii="Times New Roman" w:hAnsi="Times New Roman" w:cs="Times New Roman"/>
                <w:sz w:val="18"/>
                <w:szCs w:val="18"/>
              </w:rPr>
              <w:t>的路线相比，在碳减排方面具有显著先进性，体现在三个层面：</w:t>
            </w:r>
          </w:p>
          <w:p w14:paraId="6E22B4E0">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一是原料替代。传统工艺依赖玄武岩、辉绿岩、白云石等天然矿石，需经采矿、破碎、运输等环节，消耗大量能源并产生碳排放。煤气化渣的主要成分（SiO₂含量40%～60%、Al₂O₃含量15%～30%、CaO含量1%～10%）与天然矿石高度相似，可替代天然矿石作为主体原料，将工业固废转化为资源，实现“废物—资源—产品”的闭环，从源头避免了矿石开采和加工环节的碳排放。</w:t>
            </w:r>
          </w:p>
          <w:p w14:paraId="1CE83555">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二是工艺节能。天然矿石为惰性物料，需完全依靠外部能源加热至1400～1500℃熔融。煤气化渣中残留的未燃碳（粗渣含碳量1%～10%，细渣含碳量15%～35%）在熔融过程中可作为内热源自燃供热，显著减少外部燃料或电力输入，吨产品综合能耗可降低20%～35%。</w:t>
            </w:r>
          </w:p>
          <w:p w14:paraId="2C923E18">
            <w:pPr>
              <w:adjustRightInd w:val="0"/>
              <w:snapToGrid w:val="0"/>
              <w:spacing w:line="360" w:lineRule="auto"/>
              <w:ind w:firstLine="360" w:firstLineChars="200"/>
              <w:rPr>
                <w:rFonts w:hint="eastAsia" w:ascii="Times New Roman" w:hAnsi="Times New Roman" w:eastAsia="宋体" w:cs="Times New Roman"/>
                <w:sz w:val="18"/>
                <w:szCs w:val="18"/>
                <w:lang w:val="en-US" w:eastAsia="zh-CN"/>
              </w:rPr>
            </w:pPr>
            <w:r>
              <w:rPr>
                <w:rFonts w:hint="default" w:ascii="Times New Roman" w:hAnsi="Times New Roman" w:cs="Times New Roman"/>
                <w:sz w:val="18"/>
                <w:szCs w:val="18"/>
              </w:rPr>
              <w:t>三是固废重生。项目将固废预处理、高温熔融（利用残碳）、离心成纤、集棉固化等单元集成，形成“以废治废、能源自洽”的短流程工艺，同时避免了煤气化渣填埋产生的甲烷排放。在“从摇篮到大门”的系统边界内，经初步量化评估，每使用1吨煤气化渣替代天然矿石，可减少碳排放约</w:t>
            </w:r>
            <w:r>
              <w:rPr>
                <w:rFonts w:hint="default" w:ascii="Times New Roman" w:hAnsi="Times New Roman" w:cs="Times New Roman"/>
                <w:sz w:val="18"/>
                <w:szCs w:val="18"/>
                <w:lang w:val="en-US" w:eastAsia="zh-CN"/>
              </w:rPr>
              <w:t>5~8</w:t>
            </w:r>
            <w:r>
              <w:rPr>
                <w:rFonts w:hint="default" w:ascii="Times New Roman" w:hAnsi="Times New Roman" w:cs="Times New Roman"/>
                <w:sz w:val="18"/>
                <w:szCs w:val="18"/>
              </w:rPr>
              <w:t xml:space="preserve"> kg CO₂e</w:t>
            </w:r>
            <w:r>
              <w:rPr>
                <w:rFonts w:hint="eastAsia" w:ascii="Times New Roman" w:hAnsi="Times New Roman" w:cs="Times New Roman"/>
                <w:sz w:val="18"/>
                <w:szCs w:val="18"/>
                <w:lang w:eastAsia="zh-CN"/>
              </w:rPr>
              <w:t>，</w:t>
            </w:r>
            <w:r>
              <w:rPr>
                <w:rFonts w:hint="eastAsia" w:ascii="Times New Roman" w:hAnsi="Times New Roman" w:cs="Times New Roman"/>
                <w:sz w:val="18"/>
                <w:szCs w:val="18"/>
                <w:lang w:val="en-US" w:eastAsia="zh-CN"/>
              </w:rPr>
              <w:t>年利用10万吨煤气化制板材的项目一年可减少碳排放约500~800 t</w:t>
            </w:r>
            <w:r>
              <w:rPr>
                <w:rFonts w:hint="default" w:ascii="Times New Roman" w:hAnsi="Times New Roman" w:cs="Times New Roman"/>
                <w:sz w:val="18"/>
                <w:szCs w:val="18"/>
              </w:rPr>
              <w:t xml:space="preserve"> CO₂e</w:t>
            </w:r>
            <w:r>
              <w:rPr>
                <w:rFonts w:hint="eastAsia" w:cs="Times New Roman"/>
                <w:sz w:val="18"/>
                <w:szCs w:val="18"/>
                <w:lang w:eastAsia="zh-CN"/>
              </w:rPr>
              <w:t>。</w:t>
            </w:r>
          </w:p>
          <w:p w14:paraId="1C71854A">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尽管煤气化渣制岩纤板技术具有显著的碳减排潜力，但目前行业内尚无针对该技术路线的碳减排量评估统一标准。实际操作中，企业面临评估范围不统一、核算边界不一致、排放因子选取混乱等问题，导致碳减排成果难以被科学量化、横向比较和第三方核查，也无法有效衔接碳交易等市场化机制，制约了技术的推广应用和企业的减排积极性。因此，亟需制定专项技术规范，为该类项目的碳减排量评估提供标准化依据。</w:t>
            </w:r>
          </w:p>
          <w:p w14:paraId="290CBF08">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制定本标准旨在：一是构建统一评估框架，明确“基准线情景—项目情景”双维度核算边界，界定原料获取、运输、生产全过程的排放源与温室气体种类，统一核算方法。二是规范数据管理体系，明确数据采集优先级，规定活动数据的记录频次与存档要求，细化排放因子选取规则，确保碳减排量数据的准确性、完整性与可追溯性。三是衔接产业实践与政策工具，通过规范核算流程与报告模板，使企业碳减排成果可量化、可验证，为企业参与碳交易、获得绿色金融支持提供技术基础，激活企业资源化利用的内生动力。</w:t>
            </w:r>
          </w:p>
          <w:p w14:paraId="0E4DFA73">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综上，制定《基于项目的温室气体减排量评估技术规范 煤气化渣制岩纤板》行业标准，将统一碳减排量评估方法，规范引导企业优化资源化利用工艺，推动产业从“分散粗放”向“标准化、规模化”转型，对落实“固废十条”、支撑“双碳”目标实现，具有显著的环境效益、社会效益和经济效益。</w:t>
            </w:r>
          </w:p>
        </w:tc>
      </w:tr>
      <w:tr w14:paraId="577408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3A7ABDEE">
            <w:pPr>
              <w:rPr>
                <w:rFonts w:hint="default" w:ascii="Times New Roman" w:hAnsi="Times New Roman" w:cs="Times New Roman"/>
                <w:sz w:val="18"/>
              </w:rPr>
            </w:pPr>
            <w:r>
              <w:rPr>
                <w:rFonts w:hint="default" w:ascii="Times New Roman" w:hAnsi="Times New Roman" w:cs="Times New Roman"/>
                <w:sz w:val="18"/>
              </w:rPr>
              <w:t>范围和主要</w:t>
            </w:r>
          </w:p>
          <w:p w14:paraId="11D52FC7">
            <w:pPr>
              <w:rPr>
                <w:rFonts w:hint="default" w:ascii="Times New Roman" w:hAnsi="Times New Roman" w:cs="Times New Roman"/>
                <w:sz w:val="18"/>
              </w:rPr>
            </w:pPr>
            <w:r>
              <w:rPr>
                <w:rFonts w:hint="default" w:ascii="Times New Roman" w:hAnsi="Times New Roman" w:cs="Times New Roman"/>
                <w:sz w:val="18"/>
              </w:rPr>
              <w:t>技术内容</w:t>
            </w:r>
          </w:p>
        </w:tc>
        <w:tc>
          <w:tcPr>
            <w:tcW w:w="7622" w:type="dxa"/>
            <w:gridSpan w:val="11"/>
            <w:tcBorders>
              <w:top w:val="single" w:color="auto" w:sz="4" w:space="0"/>
              <w:left w:val="single" w:color="auto" w:sz="4" w:space="0"/>
              <w:bottom w:val="single" w:color="auto" w:sz="4" w:space="0"/>
              <w:right w:val="single" w:color="auto" w:sz="4" w:space="0"/>
            </w:tcBorders>
            <w:vAlign w:val="center"/>
          </w:tcPr>
          <w:p w14:paraId="3A969061">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标准的技术内容与适用范围：</w:t>
            </w:r>
          </w:p>
          <w:p w14:paraId="56880720">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本标准规定了煤气化渣制岩纤板项目的温室气体减排量评估的术语和定义、基本原则、评估内容、边界及排放源识别、基准线情景与项目情景确定、减排量计算、监测及数据质量管理、减排量评估报告编制等。</w:t>
            </w:r>
          </w:p>
          <w:p w14:paraId="3FD3909A">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本标准适用于以煤气化渣为主要原料（质量占比不低于30%），通过熔融、成纤、施胶、铺装、压制成型等工艺生产的岩纤板产品的碳减排量评估。其他类似工业固废资源化利用项目的碳减排量评估可参照执行。</w:t>
            </w:r>
          </w:p>
        </w:tc>
      </w:tr>
      <w:tr w14:paraId="1E2E8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3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19801134">
            <w:pPr>
              <w:rPr>
                <w:rFonts w:hint="default" w:ascii="Times New Roman" w:hAnsi="Times New Roman" w:cs="Times New Roman"/>
                <w:sz w:val="18"/>
              </w:rPr>
            </w:pPr>
            <w:r>
              <w:rPr>
                <w:rFonts w:hint="default" w:ascii="Times New Roman" w:hAnsi="Times New Roman" w:cs="Times New Roman"/>
                <w:sz w:val="18"/>
              </w:rPr>
              <w:t>国内外情况</w:t>
            </w:r>
          </w:p>
          <w:p w14:paraId="6120C9DC">
            <w:pPr>
              <w:rPr>
                <w:rFonts w:hint="default" w:ascii="Times New Roman" w:hAnsi="Times New Roman" w:cs="Times New Roman"/>
                <w:sz w:val="18"/>
              </w:rPr>
            </w:pPr>
            <w:r>
              <w:rPr>
                <w:rFonts w:hint="default" w:ascii="Times New Roman" w:hAnsi="Times New Roman" w:cs="Times New Roman"/>
                <w:sz w:val="18"/>
              </w:rPr>
              <w:t>简要说明</w:t>
            </w:r>
          </w:p>
        </w:tc>
        <w:tc>
          <w:tcPr>
            <w:tcW w:w="7622" w:type="dxa"/>
            <w:gridSpan w:val="11"/>
            <w:tcBorders>
              <w:top w:val="single" w:color="auto" w:sz="4" w:space="0"/>
              <w:left w:val="single" w:color="auto" w:sz="4" w:space="0"/>
              <w:bottom w:val="single" w:color="auto" w:sz="4" w:space="0"/>
              <w:right w:val="single" w:color="auto" w:sz="4" w:space="0"/>
            </w:tcBorders>
            <w:vAlign w:val="center"/>
          </w:tcPr>
          <w:p w14:paraId="41ECF22F">
            <w:pPr>
              <w:numPr>
                <w:ilvl w:val="0"/>
                <w:numId w:val="1"/>
              </w:numPr>
              <w:adjustRightInd w:val="0"/>
              <w:snapToGrid w:val="0"/>
              <w:spacing w:line="360" w:lineRule="auto"/>
              <w:ind w:left="420" w:leftChars="200"/>
              <w:rPr>
                <w:rFonts w:hint="default" w:ascii="Times New Roman" w:hAnsi="Times New Roman" w:cs="Times New Roman"/>
                <w:sz w:val="18"/>
                <w:szCs w:val="18"/>
              </w:rPr>
            </w:pPr>
            <w:r>
              <w:rPr>
                <w:rFonts w:hint="default" w:ascii="Times New Roman" w:hAnsi="Times New Roman" w:cs="Times New Roman"/>
                <w:sz w:val="18"/>
                <w:szCs w:val="18"/>
                <w:u w:val="single"/>
              </w:rPr>
              <w:t>国内外对该技术研究情况简要说明</w:t>
            </w:r>
            <w:r>
              <w:rPr>
                <w:rFonts w:hint="default" w:ascii="Times New Roman" w:hAnsi="Times New Roman" w:cs="Times New Roman"/>
                <w:sz w:val="18"/>
                <w:szCs w:val="18"/>
              </w:rPr>
              <w:t>：</w:t>
            </w:r>
          </w:p>
          <w:p w14:paraId="2F97FFEB">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煤气化渣的资源化利用是煤化工行业绿色发展的关键瓶颈。由于煤炭在我国能源结构中占据主体地位，2023年原煤产量达47.1亿吨，气化渣产生量约8800万吨，综合利用率低，主要以堆存和填埋方式处置，累计堆存量已超3亿吨。大量堆存不仅占用土地资源，在雨水淋溶下还面临重金属浸出污染土壤和水体的环境风险，细颗粒粉尘也威胁周边生态安全。</w:t>
            </w:r>
          </w:p>
          <w:p w14:paraId="124C26A7">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从气化渣的物化特性看，尽管原煤煤质、气化炉型及运行工况不同导致灰渣性质存在差异，但气化渣普遍富含SiO₂、Al₂O₃等有价成分，具有较高的再利用潜力。气化粗渣含碳量较低、粒度较大，通常可用于回填材料、路基材料或建筑材料；气化细渣含碳量可达30%以上，粒度更细，可用于制备介孔二氧化硅、高分子复合材料、沸石/活性炭及复合材料等。然而，受限于技术成熟度和经济可行性，目前气化渣规模化消纳途径仍然匮乏，亟需在环境风险可控的前提下，打通资源化利用的产业通道。</w:t>
            </w:r>
          </w:p>
          <w:p w14:paraId="60700C58">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在无机纤维板制造领域，利用冶金矿渣（高炉渣、钢渣）生产矿渣棉的技术已较为成熟。但针对煤气化渣制岩纤板，因其原料特性与冶金渣差异较大（如高含碳量及残碳的分布形态对内热利用和熔融工艺的影响），国内外相关研究和产业化案例极少。国内目前仅有榆林科立科盈科技有限公司等极少数企业开展产业化实践。该技术以煤气化渣（粗渣为主、细渣辅之）为原料，利用渣中残留的未燃碳作为内热源，通过电弧等离子体辅助加热熔融至约1500℃，高温熔体经四辊离心成纤后，再经解纤、施胶、铺装、压制、裁切等工序制成岩纤板产品，执行T/CIEEMA 012—2025《岩纤板》团体标准。</w:t>
            </w:r>
          </w:p>
          <w:p w14:paraId="38EC01F3">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从纤维板行业整体趋势看，近年来我国纤维板行业经历深度产能调整。2024年纤维板总产能已回落至4183万立方米/年，全年新增产能仅82万立方米/年，而通过淘汰落后生产线净减少产能415万立方米/年，较2023年增长130.56%。连续平压生产线产能占比从2017年的40.71%提升至2024年的65.96%，行业正向高效率、高质量、节能环保方向转型升级。煤气化渣制岩纤板作为一种以工业固废为原料的新型无机纤维板材，与行业转型方向高度契合。</w:t>
            </w:r>
          </w:p>
          <w:p w14:paraId="00796DC0">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在应对气候变化领域，我国明确提出2030年碳达峰、2060年碳中和目标，将建立健全碳达峰碳中和标准体系作为重要支撑工作。《中共中央 国务院关于完整准确全面贯彻新发展理念做好碳达峰碳中和工作的意见》《国家标准化发展纲要》《2030年前碳达峰行动方案》等文件均对完善温室气体排放核算标准提出明确要求。在此背景下，建立完善的温室气体排放核算体系、准确进行碳减排量核算，是摸清减排底数、支撑减排政策的基础，也是评估减排成效、衔接碳交易等市场化机制的重要依据。</w:t>
            </w:r>
          </w:p>
          <w:p w14:paraId="02E7784F">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现有国家标准层面，GB/T 32150—2015《工业企业温室气体排放核算和报告通则》确立了企业层面碳排放核算的基本原则和技术框架；GB/T 33760—2017《基于项目的温室气体减排量评估技术规范 通用要求》为项目级减排量评估提供了通用方法论，明确了基准线情景确定、排放源识别、减排量计算、监测及数据质量管理等要求。本标准在以上国家标准框架下，结合煤气化渣制岩纤板的具体工艺特点和排放特征，细化核算边界、排放源识别、活动数据监测和排放因子选取等内容，属于项目级减排量评估技术规范在特定行业和工艺场景的具体应用。</w:t>
            </w:r>
          </w:p>
          <w:p w14:paraId="5113A34A">
            <w:pPr>
              <w:numPr>
                <w:ilvl w:val="0"/>
                <w:numId w:val="1"/>
              </w:numPr>
              <w:adjustRightInd w:val="0"/>
              <w:snapToGrid w:val="0"/>
              <w:spacing w:line="360" w:lineRule="auto"/>
              <w:ind w:left="420" w:leftChars="200"/>
              <w:rPr>
                <w:rFonts w:hint="default" w:ascii="Times New Roman" w:hAnsi="Times New Roman" w:cs="Times New Roman"/>
                <w:sz w:val="18"/>
                <w:szCs w:val="18"/>
              </w:rPr>
            </w:pPr>
            <w:r>
              <w:rPr>
                <w:rFonts w:hint="default" w:ascii="Times New Roman" w:hAnsi="Times New Roman" w:cs="Times New Roman"/>
                <w:sz w:val="18"/>
                <w:szCs w:val="18"/>
                <w:u w:val="single"/>
              </w:rPr>
              <w:t>项目与国际标准或国外先进标准采用程度的考虑：</w:t>
            </w:r>
          </w:p>
          <w:p w14:paraId="796C29D1">
            <w:pPr>
              <w:adjustRightInd w:val="0"/>
              <w:snapToGrid w:val="0"/>
              <w:spacing w:line="360" w:lineRule="auto"/>
              <w:ind w:left="420" w:leftChars="200"/>
              <w:rPr>
                <w:rFonts w:hint="default" w:ascii="Times New Roman" w:hAnsi="Times New Roman" w:cs="Times New Roman"/>
                <w:sz w:val="18"/>
                <w:szCs w:val="18"/>
              </w:rPr>
            </w:pPr>
            <w:r>
              <w:rPr>
                <w:rFonts w:hint="default" w:ascii="Times New Roman" w:hAnsi="Times New Roman" w:cs="Times New Roman"/>
                <w:sz w:val="18"/>
                <w:szCs w:val="18"/>
              </w:rPr>
              <w:t>该标准项目没有对应的国际标准或国外先进标准。</w:t>
            </w:r>
          </w:p>
          <w:p w14:paraId="458D3242">
            <w:pPr>
              <w:numPr>
                <w:ilvl w:val="0"/>
                <w:numId w:val="1"/>
              </w:numPr>
              <w:adjustRightInd w:val="0"/>
              <w:snapToGrid w:val="0"/>
              <w:spacing w:line="360" w:lineRule="auto"/>
              <w:ind w:left="420" w:leftChars="200"/>
              <w:rPr>
                <w:rFonts w:hint="default" w:ascii="Times New Roman" w:hAnsi="Times New Roman" w:cs="Times New Roman"/>
                <w:sz w:val="18"/>
                <w:szCs w:val="18"/>
              </w:rPr>
            </w:pPr>
            <w:r>
              <w:rPr>
                <w:rFonts w:hint="default" w:ascii="Times New Roman" w:hAnsi="Times New Roman" w:cs="Times New Roman"/>
                <w:sz w:val="18"/>
                <w:szCs w:val="18"/>
                <w:u w:val="single"/>
              </w:rPr>
              <w:t>与国内相关标准间的关系：</w:t>
            </w:r>
          </w:p>
          <w:p w14:paraId="54CDE737">
            <w:pPr>
              <w:adjustRightInd w:val="0"/>
              <w:snapToGrid w:val="0"/>
              <w:spacing w:line="360" w:lineRule="auto"/>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关于煤气化渣制无机纤维板的碳减排量评估方法，目前国内外并没有一个专属的、完全对应的标准</w:t>
            </w:r>
            <w:r>
              <w:rPr>
                <w:rFonts w:hint="default" w:ascii="Times New Roman" w:hAnsi="Times New Roman" w:cs="Times New Roman"/>
                <w:sz w:val="18"/>
                <w:szCs w:val="18"/>
                <w:lang w:eastAsia="zh-CN"/>
              </w:rPr>
              <w:t>。</w:t>
            </w:r>
            <w:r>
              <w:rPr>
                <w:rFonts w:hint="default" w:ascii="Times New Roman" w:hAnsi="Times New Roman" w:cs="Times New Roman"/>
                <w:sz w:val="18"/>
                <w:szCs w:val="18"/>
                <w:highlight w:val="none"/>
              </w:rPr>
              <w:t>本项目产品参考执行国内标准T/CIEEMA 012-2025《岩纤板》中规定的纤维板分类、原材料、要求、试验方法、检验规则等，</w:t>
            </w:r>
            <w:r>
              <w:rPr>
                <w:rFonts w:hint="default" w:ascii="Times New Roman" w:hAnsi="Times New Roman" w:cs="Times New Roman"/>
                <w:sz w:val="18"/>
                <w:szCs w:val="18"/>
              </w:rPr>
              <w:t>确保产品在满足相关标准要求前提下，进行碳减排量评估。依据GB/T 32150-2015《工业企业温室气体排放核算和报告通则》和《工业其他行业企业温室气体核算方法与报告指南（试行）》确定企业碳排放量核算值。借鉴GB/T 33760-2017《基于项目的温室气体减排量评估技术规范》，重点计算比较，量化生产阶段实际碳排放与行业基准值的差值。</w:t>
            </w:r>
          </w:p>
          <w:p w14:paraId="7A2C0FA1">
            <w:pPr>
              <w:numPr>
                <w:ilvl w:val="0"/>
                <w:numId w:val="1"/>
              </w:numPr>
              <w:adjustRightInd w:val="0"/>
              <w:snapToGrid w:val="0"/>
              <w:spacing w:line="360" w:lineRule="auto"/>
              <w:ind w:left="420" w:leftChars="200"/>
              <w:rPr>
                <w:rFonts w:hint="default" w:ascii="Times New Roman" w:hAnsi="Times New Roman" w:cs="Times New Roman"/>
                <w:sz w:val="18"/>
                <w:szCs w:val="18"/>
                <w:u w:val="single"/>
              </w:rPr>
            </w:pPr>
            <w:r>
              <w:rPr>
                <w:rFonts w:hint="default" w:ascii="Times New Roman" w:hAnsi="Times New Roman" w:cs="Times New Roman"/>
                <w:sz w:val="18"/>
                <w:szCs w:val="18"/>
                <w:u w:val="single"/>
              </w:rPr>
              <w:t>指出是否发现由知识产权问题：</w:t>
            </w:r>
          </w:p>
          <w:p w14:paraId="07608DDA">
            <w:pPr>
              <w:adjustRightInd w:val="0"/>
              <w:snapToGrid w:val="0"/>
              <w:spacing w:line="360" w:lineRule="auto"/>
              <w:ind w:left="360"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无。</w:t>
            </w:r>
          </w:p>
        </w:tc>
      </w:tr>
      <w:tr w14:paraId="0D423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A4FCC3E">
            <w:pPr>
              <w:jc w:val="center"/>
              <w:rPr>
                <w:rFonts w:hint="default" w:ascii="Times New Roman" w:hAnsi="Times New Roman" w:cs="Times New Roman"/>
                <w:sz w:val="18"/>
              </w:rPr>
            </w:pPr>
            <w:r>
              <w:rPr>
                <w:rFonts w:hint="default" w:ascii="Times New Roman" w:hAnsi="Times New Roman" w:cs="Times New Roman"/>
                <w:sz w:val="18"/>
                <w:szCs w:val="18"/>
              </w:rPr>
              <w:t>牵头</w:t>
            </w:r>
            <w:r>
              <w:rPr>
                <w:rFonts w:hint="default" w:ascii="Times New Roman" w:hAnsi="Times New Roman" w:cs="Times New Roman"/>
                <w:sz w:val="18"/>
              </w:rPr>
              <w:t>单位</w:t>
            </w:r>
          </w:p>
        </w:tc>
        <w:tc>
          <w:tcPr>
            <w:tcW w:w="1556" w:type="dxa"/>
            <w:gridSpan w:val="3"/>
            <w:tcBorders>
              <w:top w:val="single" w:color="auto" w:sz="4" w:space="0"/>
              <w:left w:val="single" w:color="auto" w:sz="4" w:space="0"/>
              <w:bottom w:val="single" w:color="auto" w:sz="4" w:space="0"/>
              <w:right w:val="single" w:color="auto" w:sz="4" w:space="0"/>
            </w:tcBorders>
            <w:vAlign w:val="center"/>
          </w:tcPr>
          <w:p w14:paraId="625B6021">
            <w:pPr>
              <w:pStyle w:val="4"/>
              <w:pBdr>
                <w:bottom w:val="none" w:color="auto" w:sz="0" w:space="0"/>
              </w:pBdr>
              <w:tabs>
                <w:tab w:val="left" w:pos="420"/>
              </w:tabs>
              <w:snapToGrid/>
              <w:jc w:val="both"/>
              <w:rPr>
                <w:rFonts w:hint="default" w:ascii="Times New Roman" w:hAnsi="Times New Roman" w:cs="Times New Roman"/>
              </w:rPr>
            </w:pPr>
            <w:r>
              <w:rPr>
                <w:rFonts w:hint="default" w:ascii="Times New Roman" w:hAnsi="Times New Roman" w:cs="Times New Roman"/>
              </w:rPr>
              <w:t>（签字、盖公章）</w:t>
            </w:r>
          </w:p>
          <w:p w14:paraId="6683CAB2">
            <w:pPr>
              <w:pStyle w:val="4"/>
              <w:pBdr>
                <w:bottom w:val="none" w:color="auto" w:sz="0" w:space="0"/>
              </w:pBdr>
              <w:tabs>
                <w:tab w:val="left" w:pos="420"/>
              </w:tabs>
              <w:snapToGrid/>
              <w:jc w:val="both"/>
              <w:rPr>
                <w:rFonts w:hint="default" w:ascii="Times New Roman" w:hAnsi="Times New Roman" w:cs="Times New Roman"/>
              </w:rPr>
            </w:pPr>
          </w:p>
          <w:p w14:paraId="69040067">
            <w:pPr>
              <w:pStyle w:val="4"/>
              <w:pBdr>
                <w:bottom w:val="none" w:color="auto" w:sz="0" w:space="0"/>
              </w:pBdr>
              <w:tabs>
                <w:tab w:val="left" w:pos="420"/>
              </w:tabs>
              <w:snapToGrid/>
              <w:ind w:firstLine="450" w:firstLineChars="250"/>
              <w:jc w:val="both"/>
              <w:rPr>
                <w:rFonts w:hint="default" w:ascii="Times New Roman" w:hAnsi="Times New Roman" w:cs="Times New Roman"/>
              </w:rPr>
            </w:pPr>
            <w:r>
              <w:rPr>
                <w:rFonts w:hint="default" w:ascii="Times New Roman" w:hAnsi="Times New Roman" w:cs="Times New Roman"/>
              </w:rPr>
              <w:t>月    日</w:t>
            </w:r>
          </w:p>
        </w:tc>
        <w:tc>
          <w:tcPr>
            <w:tcW w:w="1508" w:type="dxa"/>
            <w:gridSpan w:val="2"/>
            <w:tcBorders>
              <w:top w:val="single" w:color="auto" w:sz="4" w:space="0"/>
              <w:left w:val="single" w:color="auto" w:sz="4" w:space="0"/>
              <w:bottom w:val="single" w:color="auto" w:sz="4" w:space="0"/>
              <w:right w:val="single" w:color="auto" w:sz="4" w:space="0"/>
            </w:tcBorders>
            <w:vAlign w:val="center"/>
          </w:tcPr>
          <w:p w14:paraId="59906547">
            <w:pPr>
              <w:jc w:val="center"/>
              <w:rPr>
                <w:rFonts w:hint="default" w:ascii="Times New Roman" w:hAnsi="Times New Roman" w:cs="Times New Roman"/>
                <w:sz w:val="18"/>
              </w:rPr>
            </w:pPr>
            <w:r>
              <w:rPr>
                <w:rFonts w:hint="default" w:ascii="Times New Roman" w:hAnsi="Times New Roman" w:cs="Times New Roman"/>
                <w:sz w:val="18"/>
              </w:rPr>
              <w:t>标准化技术组织</w:t>
            </w:r>
          </w:p>
        </w:tc>
        <w:tc>
          <w:tcPr>
            <w:tcW w:w="1525" w:type="dxa"/>
            <w:tcBorders>
              <w:top w:val="single" w:color="auto" w:sz="4" w:space="0"/>
              <w:left w:val="single" w:color="auto" w:sz="4" w:space="0"/>
              <w:bottom w:val="single" w:color="auto" w:sz="4" w:space="0"/>
              <w:right w:val="single" w:color="auto" w:sz="4" w:space="0"/>
            </w:tcBorders>
            <w:vAlign w:val="center"/>
          </w:tcPr>
          <w:p w14:paraId="138A4A49">
            <w:pPr>
              <w:pStyle w:val="4"/>
              <w:pBdr>
                <w:bottom w:val="none" w:color="auto" w:sz="0" w:space="0"/>
              </w:pBdr>
              <w:tabs>
                <w:tab w:val="left" w:pos="420"/>
              </w:tabs>
              <w:snapToGrid/>
              <w:jc w:val="both"/>
              <w:rPr>
                <w:rFonts w:hint="default" w:ascii="Times New Roman" w:hAnsi="Times New Roman" w:cs="Times New Roman"/>
              </w:rPr>
            </w:pPr>
            <w:r>
              <w:rPr>
                <w:rFonts w:hint="default" w:ascii="Times New Roman" w:hAnsi="Times New Roman" w:cs="Times New Roman"/>
              </w:rPr>
              <w:t>（签字、盖公章）</w:t>
            </w:r>
          </w:p>
          <w:p w14:paraId="3B507ECE">
            <w:pPr>
              <w:pStyle w:val="4"/>
              <w:pBdr>
                <w:bottom w:val="none" w:color="auto" w:sz="0" w:space="0"/>
              </w:pBdr>
              <w:tabs>
                <w:tab w:val="left" w:pos="420"/>
              </w:tabs>
              <w:snapToGrid/>
              <w:jc w:val="both"/>
              <w:rPr>
                <w:rFonts w:hint="default" w:ascii="Times New Roman" w:hAnsi="Times New Roman" w:cs="Times New Roman"/>
              </w:rPr>
            </w:pPr>
          </w:p>
          <w:p w14:paraId="1A1D65BA">
            <w:pPr>
              <w:pStyle w:val="4"/>
              <w:pBdr>
                <w:bottom w:val="none" w:color="auto" w:sz="0" w:space="0"/>
              </w:pBdr>
              <w:tabs>
                <w:tab w:val="left" w:pos="420"/>
              </w:tabs>
              <w:snapToGrid/>
              <w:ind w:firstLine="540" w:firstLineChars="300"/>
              <w:jc w:val="both"/>
              <w:rPr>
                <w:rFonts w:hint="default" w:ascii="Times New Roman" w:hAnsi="Times New Roman" w:cs="Times New Roman"/>
              </w:rPr>
            </w:pPr>
            <w:r>
              <w:rPr>
                <w:rFonts w:hint="default" w:ascii="Times New Roman" w:hAnsi="Times New Roman" w:cs="Times New Roman"/>
              </w:rPr>
              <w:t>月    日</w:t>
            </w:r>
          </w:p>
        </w:tc>
        <w:tc>
          <w:tcPr>
            <w:tcW w:w="1516" w:type="dxa"/>
            <w:gridSpan w:val="4"/>
            <w:tcBorders>
              <w:top w:val="single" w:color="auto" w:sz="4" w:space="0"/>
              <w:left w:val="single" w:color="auto" w:sz="4" w:space="0"/>
              <w:bottom w:val="single" w:color="auto" w:sz="4" w:space="0"/>
              <w:right w:val="single" w:color="auto" w:sz="4" w:space="0"/>
            </w:tcBorders>
            <w:vAlign w:val="center"/>
          </w:tcPr>
          <w:p w14:paraId="74D44F95">
            <w:pPr>
              <w:jc w:val="center"/>
              <w:rPr>
                <w:rFonts w:hint="default" w:ascii="Times New Roman" w:hAnsi="Times New Roman" w:cs="Times New Roman"/>
                <w:sz w:val="18"/>
              </w:rPr>
            </w:pPr>
            <w:r>
              <w:rPr>
                <w:rFonts w:hint="default" w:ascii="Times New Roman" w:hAnsi="Times New Roman" w:cs="Times New Roman"/>
                <w:sz w:val="18"/>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14:paraId="0FFDFE1E">
            <w:pPr>
              <w:pStyle w:val="4"/>
              <w:pBdr>
                <w:bottom w:val="none" w:color="auto" w:sz="0" w:space="0"/>
              </w:pBdr>
              <w:tabs>
                <w:tab w:val="left" w:pos="420"/>
              </w:tabs>
              <w:snapToGrid/>
              <w:jc w:val="both"/>
              <w:rPr>
                <w:rFonts w:hint="default" w:ascii="Times New Roman" w:hAnsi="Times New Roman" w:cs="Times New Roman"/>
              </w:rPr>
            </w:pPr>
            <w:r>
              <w:rPr>
                <w:rFonts w:hint="default" w:ascii="Times New Roman" w:hAnsi="Times New Roman" w:cs="Times New Roman"/>
              </w:rPr>
              <w:t>（签字、盖公章）</w:t>
            </w:r>
          </w:p>
          <w:p w14:paraId="1E0A8976">
            <w:pPr>
              <w:pStyle w:val="4"/>
              <w:pBdr>
                <w:bottom w:val="none" w:color="auto" w:sz="0" w:space="0"/>
              </w:pBdr>
              <w:tabs>
                <w:tab w:val="left" w:pos="420"/>
              </w:tabs>
              <w:snapToGrid/>
              <w:jc w:val="both"/>
              <w:rPr>
                <w:rFonts w:hint="default" w:ascii="Times New Roman" w:hAnsi="Times New Roman" w:cs="Times New Roman"/>
              </w:rPr>
            </w:pPr>
          </w:p>
          <w:p w14:paraId="15482F10">
            <w:pPr>
              <w:pStyle w:val="4"/>
              <w:pBdr>
                <w:bottom w:val="none" w:color="auto" w:sz="0" w:space="0"/>
              </w:pBdr>
              <w:tabs>
                <w:tab w:val="left" w:pos="420"/>
              </w:tabs>
              <w:snapToGrid/>
              <w:ind w:firstLine="450" w:firstLineChars="250"/>
              <w:jc w:val="both"/>
              <w:rPr>
                <w:rFonts w:hint="default" w:ascii="Times New Roman" w:hAnsi="Times New Roman" w:cs="Times New Roman"/>
              </w:rPr>
            </w:pPr>
            <w:r>
              <w:rPr>
                <w:rFonts w:hint="default" w:ascii="Times New Roman" w:hAnsi="Times New Roman" w:cs="Times New Roman"/>
              </w:rPr>
              <w:t>月    日</w:t>
            </w:r>
          </w:p>
        </w:tc>
      </w:tr>
    </w:tbl>
    <w:p w14:paraId="418403B5">
      <w:pPr>
        <w:ind w:firstLine="360" w:firstLineChars="200"/>
        <w:rPr>
          <w:sz w:val="18"/>
          <w:szCs w:val="18"/>
        </w:rPr>
      </w:pPr>
      <w:r>
        <w:rPr>
          <w:rFonts w:hint="eastAsia"/>
          <w:sz w:val="18"/>
          <w:szCs w:val="18"/>
        </w:rPr>
        <w:t>注：1.填写制定或修订项目中，若选择修订必须填写被修订标准号；</w:t>
      </w:r>
    </w:p>
    <w:p w14:paraId="008F0535">
      <w:pPr>
        <w:ind w:firstLine="720" w:firstLineChars="400"/>
        <w:rPr>
          <w:sz w:val="18"/>
          <w:szCs w:val="18"/>
        </w:rPr>
      </w:pPr>
      <w:r>
        <w:rPr>
          <w:rFonts w:hint="eastAsia"/>
          <w:sz w:val="18"/>
          <w:szCs w:val="18"/>
        </w:rPr>
        <w:t>2.选择采用国际标准，必须填写采标号及采用程度；</w:t>
      </w:r>
    </w:p>
    <w:p w14:paraId="09C77C8D">
      <w:pPr>
        <w:ind w:firstLine="720" w:firstLineChars="400"/>
        <w:rPr>
          <w:sz w:val="18"/>
          <w:szCs w:val="18"/>
        </w:rPr>
      </w:pPr>
      <w:r>
        <w:rPr>
          <w:rFonts w:hint="eastAsia"/>
          <w:sz w:val="18"/>
          <w:szCs w:val="18"/>
        </w:rPr>
        <w:t>3.选择采用快速程序，必须填写快速程序代码。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5BB37"/>
    <w:multiLevelType w:val="singleLevel"/>
    <w:tmpl w:val="4BD5BB37"/>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jNjhmMjcxMDFmYTU1OWUxOTJiMWI4OGVmNmQ1ZmMifQ=="/>
  </w:docVars>
  <w:rsids>
    <w:rsidRoot w:val="00D94DE0"/>
    <w:rsid w:val="00005C29"/>
    <w:rsid w:val="0001175C"/>
    <w:rsid w:val="00016CFB"/>
    <w:rsid w:val="00050AEA"/>
    <w:rsid w:val="000571FD"/>
    <w:rsid w:val="00064306"/>
    <w:rsid w:val="00067B80"/>
    <w:rsid w:val="00085463"/>
    <w:rsid w:val="000E75DF"/>
    <w:rsid w:val="00100549"/>
    <w:rsid w:val="00126298"/>
    <w:rsid w:val="0016003E"/>
    <w:rsid w:val="00182E97"/>
    <w:rsid w:val="00186F26"/>
    <w:rsid w:val="001C0469"/>
    <w:rsid w:val="001E00BC"/>
    <w:rsid w:val="00202FF1"/>
    <w:rsid w:val="00244A10"/>
    <w:rsid w:val="0024658F"/>
    <w:rsid w:val="002D0445"/>
    <w:rsid w:val="002F009B"/>
    <w:rsid w:val="0031195C"/>
    <w:rsid w:val="003273D5"/>
    <w:rsid w:val="00331B59"/>
    <w:rsid w:val="00332DDE"/>
    <w:rsid w:val="00395170"/>
    <w:rsid w:val="003E27C6"/>
    <w:rsid w:val="003E47F4"/>
    <w:rsid w:val="003F4012"/>
    <w:rsid w:val="003F4837"/>
    <w:rsid w:val="00406230"/>
    <w:rsid w:val="004508A6"/>
    <w:rsid w:val="004929A9"/>
    <w:rsid w:val="00494F92"/>
    <w:rsid w:val="004C10B1"/>
    <w:rsid w:val="004E74BB"/>
    <w:rsid w:val="004F0C68"/>
    <w:rsid w:val="004F132D"/>
    <w:rsid w:val="00515E4E"/>
    <w:rsid w:val="00544E7A"/>
    <w:rsid w:val="005864EE"/>
    <w:rsid w:val="005A6258"/>
    <w:rsid w:val="005F0F2C"/>
    <w:rsid w:val="0063049E"/>
    <w:rsid w:val="006421DC"/>
    <w:rsid w:val="00662BF6"/>
    <w:rsid w:val="006734D0"/>
    <w:rsid w:val="006752FB"/>
    <w:rsid w:val="00693DF1"/>
    <w:rsid w:val="006A35E2"/>
    <w:rsid w:val="006E52D4"/>
    <w:rsid w:val="00700D08"/>
    <w:rsid w:val="00751E09"/>
    <w:rsid w:val="007555A0"/>
    <w:rsid w:val="00762C08"/>
    <w:rsid w:val="00772AA6"/>
    <w:rsid w:val="007748E6"/>
    <w:rsid w:val="00781BC0"/>
    <w:rsid w:val="007D18C0"/>
    <w:rsid w:val="007E39CA"/>
    <w:rsid w:val="00804CF9"/>
    <w:rsid w:val="00873A7A"/>
    <w:rsid w:val="008977E3"/>
    <w:rsid w:val="008B4073"/>
    <w:rsid w:val="008C11B0"/>
    <w:rsid w:val="008C3E14"/>
    <w:rsid w:val="008E64E5"/>
    <w:rsid w:val="00902020"/>
    <w:rsid w:val="00925C13"/>
    <w:rsid w:val="00931545"/>
    <w:rsid w:val="00932807"/>
    <w:rsid w:val="009932A3"/>
    <w:rsid w:val="009A4CBE"/>
    <w:rsid w:val="009A5F91"/>
    <w:rsid w:val="009D62D9"/>
    <w:rsid w:val="00A02130"/>
    <w:rsid w:val="00A24733"/>
    <w:rsid w:val="00A31BD8"/>
    <w:rsid w:val="00A705DC"/>
    <w:rsid w:val="00A73A32"/>
    <w:rsid w:val="00A8722F"/>
    <w:rsid w:val="00AC5F58"/>
    <w:rsid w:val="00AE6150"/>
    <w:rsid w:val="00AF0E68"/>
    <w:rsid w:val="00B54F06"/>
    <w:rsid w:val="00B56A3E"/>
    <w:rsid w:val="00BE28AE"/>
    <w:rsid w:val="00BE3305"/>
    <w:rsid w:val="00C14564"/>
    <w:rsid w:val="00C474FB"/>
    <w:rsid w:val="00C53DEA"/>
    <w:rsid w:val="00C758A6"/>
    <w:rsid w:val="00C76A93"/>
    <w:rsid w:val="00D15A31"/>
    <w:rsid w:val="00D3043A"/>
    <w:rsid w:val="00D5462D"/>
    <w:rsid w:val="00D66199"/>
    <w:rsid w:val="00D94DE0"/>
    <w:rsid w:val="00DA3FC7"/>
    <w:rsid w:val="00DC2F35"/>
    <w:rsid w:val="00DC4A57"/>
    <w:rsid w:val="00DF4450"/>
    <w:rsid w:val="00E047C8"/>
    <w:rsid w:val="00E34115"/>
    <w:rsid w:val="00E41C52"/>
    <w:rsid w:val="00E45B0B"/>
    <w:rsid w:val="00E61512"/>
    <w:rsid w:val="00E672DB"/>
    <w:rsid w:val="00ED0223"/>
    <w:rsid w:val="00F330CD"/>
    <w:rsid w:val="00F46310"/>
    <w:rsid w:val="00F557D6"/>
    <w:rsid w:val="00F91791"/>
    <w:rsid w:val="00FA40BB"/>
    <w:rsid w:val="025B568B"/>
    <w:rsid w:val="0394658D"/>
    <w:rsid w:val="06BA455D"/>
    <w:rsid w:val="07697D31"/>
    <w:rsid w:val="0B896BF3"/>
    <w:rsid w:val="0B9335CE"/>
    <w:rsid w:val="0BCB720C"/>
    <w:rsid w:val="0C6F6E83"/>
    <w:rsid w:val="0F3F1AA3"/>
    <w:rsid w:val="18DB1BD5"/>
    <w:rsid w:val="1ADD6CC1"/>
    <w:rsid w:val="1B720F8E"/>
    <w:rsid w:val="208F215E"/>
    <w:rsid w:val="22421B7E"/>
    <w:rsid w:val="2297354C"/>
    <w:rsid w:val="23114F5F"/>
    <w:rsid w:val="28A864B3"/>
    <w:rsid w:val="29184C3B"/>
    <w:rsid w:val="2D23435A"/>
    <w:rsid w:val="2E1732AD"/>
    <w:rsid w:val="2E592E04"/>
    <w:rsid w:val="2E755C6B"/>
    <w:rsid w:val="3011493E"/>
    <w:rsid w:val="31205C46"/>
    <w:rsid w:val="328A5A1F"/>
    <w:rsid w:val="34E4730C"/>
    <w:rsid w:val="38B44338"/>
    <w:rsid w:val="38F7002B"/>
    <w:rsid w:val="3A3C3AC3"/>
    <w:rsid w:val="3D255ECD"/>
    <w:rsid w:val="3F0F473E"/>
    <w:rsid w:val="40AA4B76"/>
    <w:rsid w:val="45BE6EBE"/>
    <w:rsid w:val="49D72F9D"/>
    <w:rsid w:val="4BD25472"/>
    <w:rsid w:val="4E3E6DEE"/>
    <w:rsid w:val="587530C2"/>
    <w:rsid w:val="58917452"/>
    <w:rsid w:val="5CEF15D2"/>
    <w:rsid w:val="5E280F21"/>
    <w:rsid w:val="60B66CB8"/>
    <w:rsid w:val="67595D46"/>
    <w:rsid w:val="67ED6103"/>
    <w:rsid w:val="6C132AF4"/>
    <w:rsid w:val="734C74EC"/>
    <w:rsid w:val="758B19AB"/>
    <w:rsid w:val="75B55338"/>
    <w:rsid w:val="7E1A2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rPr>
      <w:sz w:val="24"/>
    </w:rPr>
  </w:style>
  <w:style w:type="character" w:styleId="8">
    <w:name w:val="Strong"/>
    <w:basedOn w:val="7"/>
    <w:qFormat/>
    <w:uiPriority w:val="22"/>
    <w:rPr>
      <w:b/>
    </w:rPr>
  </w:style>
  <w:style w:type="character" w:styleId="9">
    <w:name w:val="annotation reference"/>
    <w:basedOn w:val="7"/>
    <w:semiHidden/>
    <w:unhideWhenUsed/>
    <w:qFormat/>
    <w:uiPriority w:val="99"/>
    <w:rPr>
      <w:sz w:val="21"/>
      <w:szCs w:val="21"/>
    </w:rPr>
  </w:style>
  <w:style w:type="character" w:customStyle="1" w:styleId="10">
    <w:name w:val="页眉 字符"/>
    <w:basedOn w:val="7"/>
    <w:link w:val="4"/>
    <w:qFormat/>
    <w:uiPriority w:val="0"/>
    <w:rPr>
      <w:rFonts w:ascii="Times New Roman" w:hAnsi="Times New Roman" w:eastAsia="宋体" w:cs="Times New Roman"/>
      <w:sz w:val="18"/>
      <w:szCs w:val="18"/>
    </w:rPr>
  </w:style>
  <w:style w:type="character" w:customStyle="1" w:styleId="11">
    <w:name w:val="页脚 字符"/>
    <w:basedOn w:val="7"/>
    <w:link w:val="3"/>
    <w:qFormat/>
    <w:uiPriority w:val="99"/>
    <w:rPr>
      <w:rFonts w:ascii="Times New Roman" w:hAnsi="Times New Roman" w:eastAsia="宋体" w:cs="Times New Roman"/>
      <w:sz w:val="18"/>
      <w:szCs w:val="18"/>
    </w:rPr>
  </w:style>
  <w:style w:type="paragraph" w:customStyle="1" w:styleId="1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3513</Words>
  <Characters>3867</Characters>
  <Lines>129</Lines>
  <Paragraphs>138</Paragraphs>
  <TotalTime>0</TotalTime>
  <ScaleCrop>false</ScaleCrop>
  <LinksUpToDate>false</LinksUpToDate>
  <CharactersWithSpaces>3910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2018-08-01T03:54:00Z</dcterms:created>
  <dc:creator>zh</dc:creator>
  <cp:lastModifiedBy>xujun234</cp:lastModifiedBy>
  <dcterms:modified xsi:type="dcterms:W3CDTF">2026-05-07T08:39:26Z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836EA9C5688B40D3826854428F36E457_13</vt:lpwstr>
  </property>
  <property fmtid="{D5CDD505-2E9C-101B-9397-08002B2CF9AE}" pid="4" name="KSOTemplateDocerSaveRecord">
    <vt:lpwstr>eyJoZGlkIjoiMWI2OTI1ZGY5ODNhMTlhNGJlMzYyZmMwYzU2YWE5NzAiLCJ1c2VySWQiOiIxMjcyNTgzODYwIn0=</vt:lpwstr>
  </property>
</Properties>
</file>